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0A" w:rsidRPr="00FC2761" w:rsidRDefault="001A570A" w:rsidP="00FC23FB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570A" w:rsidRPr="00FC2761" w:rsidRDefault="004B38B2" w:rsidP="00397E5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97E5E">
        <w:rPr>
          <w:rFonts w:ascii="Times New Roman" w:hAnsi="Times New Roman" w:cs="Times New Roman"/>
          <w:b/>
          <w:sz w:val="28"/>
          <w:szCs w:val="28"/>
        </w:rPr>
        <w:t>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E5E">
        <w:rPr>
          <w:rFonts w:ascii="Times New Roman" w:hAnsi="Times New Roman" w:cs="Times New Roman"/>
          <w:b/>
          <w:sz w:val="28"/>
          <w:szCs w:val="28"/>
        </w:rPr>
        <w:t>государственног</w:t>
      </w:r>
      <w:r w:rsidR="00A208F2">
        <w:rPr>
          <w:rFonts w:ascii="Times New Roman" w:hAnsi="Times New Roman" w:cs="Times New Roman"/>
          <w:b/>
          <w:sz w:val="28"/>
          <w:szCs w:val="28"/>
        </w:rPr>
        <w:t>о долга в экономике государства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B24" w:rsidRPr="00FC2761" w:rsidRDefault="000A2B24" w:rsidP="00EF7B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9BE" w:rsidRPr="009F59BE" w:rsidRDefault="00B350FC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F59BE"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последнее время интерес многих экономистов в отношение федерального бюджета значительно вырос, что легко объясняется стремительным ростом объемов государственного долга, критической величиной его затрат на техническое обслуживание. Причины такой неблагоприятной динамики</w:t>
      </w:r>
      <w:r w:rsidR="00A2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F59BE"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включают в себя высокую долю государственных расходов, неточный финансовый счет бюджетного дефицита, а так же высокую доходность государственных ценных бумаг. Таким образом, актуальность работы обусловлена тем, что размер государственного долга является важным показателем экономики страны, так как обслуживание долга требует средств из бюджета, а это вызывает снижение социальных расходов, и это отражается на уровне жизни населения. Поэтому управление размером государственного долга – важная социально-экономическая задача.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Проблема государственного долга всегда была актуальна, так как полное осуществление суверенитета государства возможна только при определенной экономической независимости.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государственным долгом понимаются обязательства, вытекающи</w:t>
      </w:r>
      <w:r w:rsidR="00A93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государственных заимствований, принятых в Российской Федерации, гарантий или поручительств по обязательствам третьих лиц, другие обязательства, а также обязательства третьих лиц.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Определяют основные причины возникновения государственного долга, такие как государственные и муниципальные заимствования, кредитные соглашения и договоры, предоставление государственных гарантий, факты, когда государства или муниципалитеты берут на себя обязательства третьих сторон и соглашения о пропаганде и реструктуризации долга.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Государство имеет возможность использовать как на федеральном, так и региональном уровнях два вида долговых обязательств: внешнего или внутреннего долга. На муниципальном уровне возможно применение только внутреннего долга.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Критерием для разделения долговых обязательств </w:t>
      </w:r>
      <w:proofErr w:type="gramStart"/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внутренние и внешние вступает валюта займа.</w:t>
      </w:r>
      <w:r w:rsidR="00A2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Отношения внешнего долго возникают в том случае, если денежные средства берутся в долг у российских или иностранных субъектов в иностранной валюте. Если денежные средства берутся в национальной валюте, то возникают отношения внутреннего долга.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Любая страна по выбору форм</w:t>
      </w:r>
      <w:r w:rsidR="00A2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A93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долга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стремится обеспечить, чтобы в качестве основного кредитора выступало население страны</w:t>
      </w:r>
      <w:r w:rsidR="00A93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чтобы з</w:t>
      </w:r>
      <w:r w:rsidR="00A2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ависи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мость от иностранных кредиторов была в меньшей степени, поскольку это ослабляет не только экономическую независимость страны, но и её суверенитет.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Обеспечивая возможность для России в получении обязательств в режиме внутреннего и внешнего долга, Бюджетный кодекс устанавливает порядок установления количественных ограничений этих обязательств и порядок их исполнения.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Для стран, Бюджетный кодекс определяет верхний предел государственного внутреннего долга и отдельно предел государственных внешних заимствований в следующий финансовый год. Предельные показатели долговых обязательств уточняются для абсолютно всех уровней бюджетной системы. На федеральном уровне определяются цифры максимальных объемов государственного внутреннего и внешнего займа, и, кроме того, отдельно предельные значения внешних заимствований уточняются федеральным законодательством о бюджете на следующий год, в котором показатели долга подлежат уточнению в соответствии с формами поддержки.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годы реформ налоговые доходы страны существенно снизились, в связи с уменьшением налоговой базы в связи с регрессом производства, с начатой и никак не доведенной до сих пор до конца налоговой реформой, низким внутренним спросом, отдалением бизнеса в теневую экономику, массовыми </w:t>
      </w:r>
      <w:r w:rsidR="002D3E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уклонениями от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уплаты налогов. Россия уже десять лет схожа с латиноамериканским государством по структуре распределения доходов населения. Около половины доходов приходится на пятую часть российского населения, которая не платит налогов от трех четвертей собственных доходов. Их как раз и не хватает для выполнения социальных обязатель</w:t>
      </w:r>
      <w:proofErr w:type="gramStart"/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 стр</w:t>
      </w:r>
      <w:proofErr w:type="gramEnd"/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аны.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одной стороны, российское государство должно отказаться от выполнения многих своих обязательств, идущих еще от советских времен и принятых позднее Государственной Думой. Они играли бы важную роль</w:t>
      </w:r>
      <w:r w:rsidR="00A2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развитой стране, но не в нашей экономики. К тому же эти обязательства из года в год никак не выполняются, что порождает неплатежи и подрывает авторитет страны.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другой стороны, существуют серьезные ограничения и последующее сокращение расходов. Сказывается сложившийся в советское время и ставший привычным уровень государственной поддержки населения. Помимо этого, отношение россиян к экономическим реформам во многом определяется динамикой социальных расходов страны. Его расходы на поддержание высокого уровня образования отражаются на темпах экономического роста. Важно также, что в будущем позволит снизить расходы на контроль, защиту, правоохранительные органы, дотации региональным бюджетам вряд ли удастся без предварительных радикальных реформ в этих сферах, что, в свою очередь, требует большого бюджета.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возможности сокращения расходов страны достаточно серьезно воздействует закрепленный в Конституции механизм формирования институтов власти. Мощная президентская республика призвана ограничить популистскую и лоббистскую активность законодателей. Однако на</w:t>
      </w:r>
      <w:r w:rsidR="00A2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практике независимость от Государственной</w:t>
      </w:r>
      <w:r w:rsidR="00A2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Думы не только защитила правительство от популизма, но и поставила депутатов в комфортное и политически выгодное положение, когда парламент в глазах населения не отвечает за результаты бюджетной нереальной социально-экономической политики. В результате страна получала бюджет с недостатком и вытекающими отсюда последствиями.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Дефицит бюджета покрывается различными способами: с помощью денежной эмиссии в форме прямых кредитов Центрального банка и заимствований на внутреннем и внешнем рынках.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Существует несколько классификаций государственного долга, в зависимости от признака, который лежит в основе данной классификации.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Государственный долг подразделяется </w:t>
      </w:r>
      <w:proofErr w:type="gramStart"/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капитальный и текущий. Капитальный государственный долг - сумма всех выпущенных и непогашенных долгов</w:t>
      </w:r>
      <w:r w:rsidR="00A2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государства, включая начисленные проценты, которые должны быть оплачены по этим обязательствам. Текущий долг – включает в себя государственные расходы на выплату доходов кредиторам и погашение обязательств, срок которых наступил.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</w:t>
      </w:r>
      <w:r w:rsidR="00A2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действующим законодательством, следует выделять государственный и общегосударственный долг. Последнее понятие шире и включает</w:t>
      </w:r>
      <w:r w:rsidR="00A2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себя не только задолженность Правительства РФ, но и органов управления республиками, входящими в состав Российской Федерации, органов местного самоуправления.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Бюджетному кодексу Российской Федерации, внешний долг - это обязательства, возникающие в иностранной денежной единице. Под государственным внутренним долгом понимаются долговые обязательства федерального правительства, сформированного в валюте </w:t>
      </w:r>
      <w:proofErr w:type="gramStart"/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Российский</w:t>
      </w:r>
      <w:proofErr w:type="gramEnd"/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Федерации. Долг федерального правительства обеспечиваются всеми активами, которыми он располагает.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формальной точки зрения, иностранными кредитами называются займы, заключенные на иностранных биржах или через иностранные банки в иностранной денежной единице. Однако на самом деле (в материальном плане) под внешними займами следует понимать те, которые находятся в руках иностранных кредиторов; официально ипотечный кредит, который может попасть в руки иностранцев и обратно.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данным</w:t>
      </w:r>
      <w:r w:rsidR="00A2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Центрального Банка, общий внешний долг России был 515,254 млрд. долларов по состоянию на 1 января 2016 года, что на 14% меньше чем год назад (599,041 млрд. долларов).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том числе сокращение так называемого «нового российского долга» составило 26,2% – с 39,257 до 28,939 млрд. долларов. В целом можно выделить следующие моменты внешней задолженности РФ. Долг органов государственного управления международным кредиторам по итогам 2015г. уменьшился на 26,1% – с 41,606 до 30,743 млрд. долларов. При этом: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обязательства (ценные бумаги), отраженные в иностранной валюте, снизились с 21,484 до 12,938 млрд. долларов (- 39,8%);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обязательства, выраженные в рублях – с 16,139 до 14,636 млрд. долларов (- 9,3%).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Российские банки в 2015г. сократили внешние долги на 22,8% – с 171,45 до 132,349 млрд. долларов. В то же время, внешний долг Центрального Банка к 1 января 2016г. увеличился на 8,7% – с 10,599 до 11,528 млрд. долларов. Крупнейшие иностранные долги России традиционно относятся к «другим секторам» – отечественным компаниям, предприятиям, организациям. Тем не 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менее, по итогам 2015г. отмечается снижение внешнего корпоративного долга на 9,2% – с 375,386 до 340,633 млрд. долларов. В целом, общие внешние долги России в прошлом году снизились на 83,787 млрд. долларов. Тем не менее, их общая сумма по-прежнему впечатляет. Так же, по данным ЦБ РФ, к 1 июля 2016г. общая внешняя задолженность РФ увеличилась до 523,4 млрд. долларов США. Основные</w:t>
      </w:r>
      <w:r w:rsidR="00A2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причины – приобретение нерезидентами на вторичном рынке суверенного долга (в рублях), а также начисление</w:t>
      </w:r>
      <w:r w:rsidR="00A2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дивидендов отечественных компаний для выплат акционерам.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Проблема государственного долга является ключом к макроэкономической стабильности в стране. Его правила основаны на состоянии федерального бюджета, валютных резервов, стабильности национальной валюты, уровня процентных ставок, инфляции, инвестиционного климата. Кроме этого, принимая во внимание желания наших международных кредиторов использовать</w:t>
      </w:r>
      <w:r w:rsidR="00A20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проблему долга для политического давления на Россию, грамотное регулирование государственного долга становится условием национальной безопасности и условием обеспечения независимой внешней и внутренней политики.</w:t>
      </w:r>
    </w:p>
    <w:p w:rsidR="009F59BE" w:rsidRPr="009F59BE" w:rsidRDefault="009F59BE" w:rsidP="009F59B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долговые проблемы России многоплановы: страна одновременно является большим должником и кредитором. Из-за своей уникальной ситуации, Россия и устремляется к трудностям решений международной задолженности при соблюдении равновесия интересов кредиторов и заемщиков. Сегодня, сокращение задолженности стало результатом очень неблагоприятного переплетения субъективных и объективных факторов, долгосрочных и краткосрочных тенденций. Глубина их воздействия до такой степени велика, что ощущается и по сегодняшний день.</w:t>
      </w:r>
    </w:p>
    <w:p w:rsidR="001E177B" w:rsidRPr="00FC2761" w:rsidRDefault="009F59BE" w:rsidP="009F59B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9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Достаточного внимания не было уделено структуре и эффективности нового долга и возможности своевременно погашать долги. Отсутствие промышленной политики, твердой линии на направление внешних ресурсов на производство и изготовление для преодоления спада и восстановления экономического роста привело к их сосредоточению в экономической сфере, а так же применение для покрытия дефицита бюджета. Эти тенденции на фоне продолжающегося снижения ВВП, промышленного производства и инвестиций в реальный сектор экономики, говорили о нарастании кризиса внешней задолженности. Рыночные институты регулирования внешнего долга в трансформации без вмешательства государства не в состоянии противостоять стихийным процессам в стране.</w:t>
      </w:r>
      <w:r w:rsidR="004D6566" w:rsidRPr="00FC2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208F2" w:rsidRDefault="00A208F2" w:rsidP="001E177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177B" w:rsidRPr="00FC2761" w:rsidRDefault="001E177B" w:rsidP="001E177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276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93447" w:rsidRDefault="001E177B" w:rsidP="001E17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761">
        <w:rPr>
          <w:rFonts w:ascii="Times New Roman" w:hAnsi="Times New Roman" w:cs="Times New Roman"/>
          <w:sz w:val="28"/>
          <w:szCs w:val="28"/>
        </w:rPr>
        <w:t>1.Государственный и муниципальный долг</w:t>
      </w:r>
      <w:proofErr w:type="gramStart"/>
      <w:r w:rsidRPr="00FC27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2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7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C2761">
        <w:rPr>
          <w:rFonts w:ascii="Times New Roman" w:hAnsi="Times New Roman" w:cs="Times New Roman"/>
          <w:sz w:val="28"/>
          <w:szCs w:val="28"/>
        </w:rPr>
        <w:t xml:space="preserve">чебно-методическое пособие. – </w:t>
      </w:r>
    </w:p>
    <w:p w:rsidR="001E177B" w:rsidRPr="00FC2761" w:rsidRDefault="001E177B" w:rsidP="001E17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761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FC27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761">
        <w:rPr>
          <w:rFonts w:ascii="Times New Roman" w:hAnsi="Times New Roman" w:cs="Times New Roman"/>
          <w:sz w:val="28"/>
          <w:szCs w:val="28"/>
        </w:rPr>
        <w:t xml:space="preserve"> Фин</w:t>
      </w:r>
      <w:r w:rsidR="00D701E0" w:rsidRPr="00FC2761">
        <w:rPr>
          <w:rFonts w:ascii="Times New Roman" w:hAnsi="Times New Roman" w:cs="Times New Roman"/>
          <w:sz w:val="28"/>
          <w:szCs w:val="28"/>
        </w:rPr>
        <w:t>ансы и статистика , 2007. – 190</w:t>
      </w:r>
      <w:r w:rsidR="00A208F2">
        <w:rPr>
          <w:rFonts w:ascii="Times New Roman" w:hAnsi="Times New Roman" w:cs="Times New Roman"/>
          <w:sz w:val="28"/>
          <w:szCs w:val="28"/>
        </w:rPr>
        <w:t xml:space="preserve"> </w:t>
      </w:r>
      <w:r w:rsidRPr="00FC2761">
        <w:rPr>
          <w:rFonts w:ascii="Times New Roman" w:hAnsi="Times New Roman" w:cs="Times New Roman"/>
          <w:sz w:val="28"/>
          <w:szCs w:val="28"/>
        </w:rPr>
        <w:t>с.</w:t>
      </w:r>
      <w:r w:rsidR="00D701E0" w:rsidRPr="00FC2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77B" w:rsidRPr="00FC2761" w:rsidRDefault="001E177B" w:rsidP="001E17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761">
        <w:rPr>
          <w:rFonts w:ascii="Times New Roman" w:hAnsi="Times New Roman" w:cs="Times New Roman"/>
          <w:sz w:val="28"/>
          <w:szCs w:val="28"/>
        </w:rPr>
        <w:t>2. Вавилов Ю. Я. Государственный долг</w:t>
      </w:r>
      <w:proofErr w:type="gramStart"/>
      <w:r w:rsidRPr="00FC27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2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7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C2761">
        <w:rPr>
          <w:rFonts w:ascii="Times New Roman" w:hAnsi="Times New Roman" w:cs="Times New Roman"/>
          <w:sz w:val="28"/>
          <w:szCs w:val="28"/>
        </w:rPr>
        <w:t>чебное пособие для студентов высших учебных заведений, обучающихся по экономическим специальностям. – М.</w:t>
      </w:r>
      <w:proofErr w:type="gramStart"/>
      <w:r w:rsidRPr="00FC27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761">
        <w:rPr>
          <w:rFonts w:ascii="Times New Roman" w:hAnsi="Times New Roman" w:cs="Times New Roman"/>
          <w:sz w:val="28"/>
          <w:szCs w:val="28"/>
        </w:rPr>
        <w:t xml:space="preserve"> Перспектива , 2007. - 255 с.</w:t>
      </w:r>
      <w:r w:rsidR="00A20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77B" w:rsidRPr="00FC2761" w:rsidRDefault="001E177B" w:rsidP="001E17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761">
        <w:rPr>
          <w:rFonts w:ascii="Times New Roman" w:hAnsi="Times New Roman" w:cs="Times New Roman"/>
          <w:sz w:val="28"/>
          <w:szCs w:val="28"/>
        </w:rPr>
        <w:lastRenderedPageBreak/>
        <w:t>3. Алехин Б. И. Государственный долг</w:t>
      </w:r>
      <w:proofErr w:type="gramStart"/>
      <w:r w:rsidRPr="00FC27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2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7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C2761">
        <w:rPr>
          <w:rFonts w:ascii="Times New Roman" w:hAnsi="Times New Roman" w:cs="Times New Roman"/>
          <w:sz w:val="28"/>
          <w:szCs w:val="28"/>
        </w:rPr>
        <w:t>чебное пособие. – М.</w:t>
      </w:r>
      <w:proofErr w:type="gramStart"/>
      <w:r w:rsidRPr="00FC27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761">
        <w:rPr>
          <w:rFonts w:ascii="Times New Roman" w:hAnsi="Times New Roman" w:cs="Times New Roman"/>
          <w:sz w:val="28"/>
          <w:szCs w:val="28"/>
        </w:rPr>
        <w:t xml:space="preserve"> Магистр : ИНФРА-М , 2011. – 366 с.4. Хейфец Б. О формировании единой системы управления государственным долгом и зарубежными активами // Экономист. – 2001. - N 9. - С. 73-77.</w:t>
      </w:r>
    </w:p>
    <w:p w:rsidR="001E177B" w:rsidRPr="00FC2761" w:rsidRDefault="001E177B" w:rsidP="001E17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76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C2761">
        <w:rPr>
          <w:rFonts w:ascii="Times New Roman" w:hAnsi="Times New Roman" w:cs="Times New Roman"/>
          <w:sz w:val="28"/>
          <w:szCs w:val="28"/>
        </w:rPr>
        <w:t>Покачалова</w:t>
      </w:r>
      <w:proofErr w:type="spellEnd"/>
      <w:r w:rsidRPr="00FC2761">
        <w:rPr>
          <w:rFonts w:ascii="Times New Roman" w:hAnsi="Times New Roman" w:cs="Times New Roman"/>
          <w:sz w:val="28"/>
          <w:szCs w:val="28"/>
        </w:rPr>
        <w:t xml:space="preserve"> Е. В. Управление государственным долгом Российской Федерации: теоретико-правовые проблемы // Известия высших учебных заведений. Правоведение. – 2001. - N 4. - С. 103-123.</w:t>
      </w:r>
    </w:p>
    <w:p w:rsidR="001E177B" w:rsidRPr="00FC2761" w:rsidRDefault="001E177B" w:rsidP="001E17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76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C2761">
        <w:rPr>
          <w:rFonts w:ascii="Times New Roman" w:hAnsi="Times New Roman" w:cs="Times New Roman"/>
          <w:sz w:val="28"/>
          <w:szCs w:val="28"/>
        </w:rPr>
        <w:t>Златкис</w:t>
      </w:r>
      <w:proofErr w:type="spellEnd"/>
      <w:r w:rsidRPr="00FC2761">
        <w:rPr>
          <w:rFonts w:ascii="Times New Roman" w:hAnsi="Times New Roman" w:cs="Times New Roman"/>
          <w:sz w:val="28"/>
          <w:szCs w:val="28"/>
        </w:rPr>
        <w:t xml:space="preserve"> Б. И. Долговая проблема - модная дискуссия или насущная проблема государственной власти. [О государственном долге России] // Финансы. – 2001. - N 12. - С. 3-6.</w:t>
      </w:r>
    </w:p>
    <w:p w:rsidR="001E177B" w:rsidRPr="00FC2761" w:rsidRDefault="001E177B" w:rsidP="001E17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761">
        <w:rPr>
          <w:rFonts w:ascii="Times New Roman" w:hAnsi="Times New Roman" w:cs="Times New Roman"/>
          <w:sz w:val="28"/>
          <w:szCs w:val="28"/>
        </w:rPr>
        <w:t>7. Смирнов О. В. Государственный внешний долг России: проблемы и перспективы // Финансы. – 2001. - N 8. - С. 72-73.</w:t>
      </w:r>
    </w:p>
    <w:p w:rsidR="001E177B" w:rsidRPr="00FC2761" w:rsidRDefault="001E177B" w:rsidP="001E17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76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C2761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Pr="00FC2761">
        <w:rPr>
          <w:rFonts w:ascii="Times New Roman" w:hAnsi="Times New Roman" w:cs="Times New Roman"/>
          <w:sz w:val="28"/>
          <w:szCs w:val="28"/>
        </w:rPr>
        <w:t xml:space="preserve"> А. Некоторые проблемы обслуживания государственного долга России // Общество и экономика. – 2001. - N 5. - С. 163-170.</w:t>
      </w:r>
    </w:p>
    <w:p w:rsidR="001E177B" w:rsidRPr="00FC2761" w:rsidRDefault="001E177B" w:rsidP="001E17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2761">
        <w:rPr>
          <w:rFonts w:ascii="Times New Roman" w:hAnsi="Times New Roman" w:cs="Times New Roman"/>
          <w:sz w:val="28"/>
          <w:szCs w:val="28"/>
        </w:rPr>
        <w:t>9. Иванова М. А. Нормативно-правовая база и проблемы внешних заимствований Российской Федерации // Финансы и кредит. – 2006. - N 17. - С. 33-42.</w:t>
      </w:r>
    </w:p>
    <w:p w:rsidR="001E177B" w:rsidRPr="00FC2761" w:rsidRDefault="001E177B" w:rsidP="001E177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5A39" w:rsidRPr="00FC2761" w:rsidRDefault="00495A39" w:rsidP="00EA12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2D7" w:rsidRPr="007A2888" w:rsidRDefault="00D302D7" w:rsidP="00495A3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302D7" w:rsidRDefault="00AB3DA6" w:rsidP="00AB3DA6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Побединский</w:t>
      </w:r>
    </w:p>
    <w:p w:rsidR="00AB3DA6" w:rsidRPr="007A2888" w:rsidRDefault="00AB3DA6" w:rsidP="00AB3DA6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  <w:bookmarkStart w:id="0" w:name="_GoBack"/>
      <w:bookmarkEnd w:id="0"/>
    </w:p>
    <w:p w:rsidR="00D302D7" w:rsidRPr="007A2888" w:rsidRDefault="00D302D7" w:rsidP="00495A3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302D7" w:rsidRPr="007A2888" w:rsidRDefault="00D302D7" w:rsidP="00495A3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302D7" w:rsidRPr="007A2888" w:rsidRDefault="00D302D7" w:rsidP="00495A3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302D7" w:rsidRPr="007A2888" w:rsidRDefault="00D302D7" w:rsidP="00495A3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302D7" w:rsidRPr="007A2888" w:rsidRDefault="00D302D7" w:rsidP="00495A3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302D7" w:rsidRPr="007A2888" w:rsidRDefault="00D302D7" w:rsidP="00495A3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302D7" w:rsidRPr="007A2888" w:rsidRDefault="00D302D7" w:rsidP="00495A39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302D7" w:rsidRPr="007A2888" w:rsidRDefault="00D302D7" w:rsidP="00D302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302D7" w:rsidRPr="007A2888" w:rsidSect="00FC2761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EB" w:rsidRDefault="00227DEB" w:rsidP="003B2E25">
      <w:pPr>
        <w:spacing w:after="0" w:line="240" w:lineRule="auto"/>
      </w:pPr>
      <w:r>
        <w:separator/>
      </w:r>
    </w:p>
  </w:endnote>
  <w:endnote w:type="continuationSeparator" w:id="0">
    <w:p w:rsidR="00227DEB" w:rsidRDefault="00227DEB" w:rsidP="003B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EB" w:rsidRDefault="00227DEB" w:rsidP="003B2E25">
      <w:pPr>
        <w:spacing w:after="0" w:line="240" w:lineRule="auto"/>
      </w:pPr>
      <w:r>
        <w:separator/>
      </w:r>
    </w:p>
  </w:footnote>
  <w:footnote w:type="continuationSeparator" w:id="0">
    <w:p w:rsidR="00227DEB" w:rsidRDefault="00227DEB" w:rsidP="003B2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DDA"/>
    <w:multiLevelType w:val="multilevel"/>
    <w:tmpl w:val="407C4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64B9F"/>
    <w:multiLevelType w:val="multilevel"/>
    <w:tmpl w:val="A8FC59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5102B"/>
    <w:multiLevelType w:val="multilevel"/>
    <w:tmpl w:val="C520F1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75A23"/>
    <w:multiLevelType w:val="multilevel"/>
    <w:tmpl w:val="85BCD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A5A24"/>
    <w:multiLevelType w:val="multilevel"/>
    <w:tmpl w:val="B0F08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3369C"/>
    <w:multiLevelType w:val="multilevel"/>
    <w:tmpl w:val="601ED3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20DD1"/>
    <w:multiLevelType w:val="multilevel"/>
    <w:tmpl w:val="5E509E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8694B"/>
    <w:multiLevelType w:val="multilevel"/>
    <w:tmpl w:val="41F0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D03267"/>
    <w:multiLevelType w:val="multilevel"/>
    <w:tmpl w:val="9E080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804FF8"/>
    <w:multiLevelType w:val="multilevel"/>
    <w:tmpl w:val="48E85A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26"/>
    <w:rsid w:val="0000069B"/>
    <w:rsid w:val="000240A6"/>
    <w:rsid w:val="000449F2"/>
    <w:rsid w:val="00045985"/>
    <w:rsid w:val="0005076C"/>
    <w:rsid w:val="000610BC"/>
    <w:rsid w:val="00084C5A"/>
    <w:rsid w:val="00096570"/>
    <w:rsid w:val="000A2B24"/>
    <w:rsid w:val="00166228"/>
    <w:rsid w:val="00173B36"/>
    <w:rsid w:val="001A1675"/>
    <w:rsid w:val="001A570A"/>
    <w:rsid w:val="001B7914"/>
    <w:rsid w:val="001C4BE6"/>
    <w:rsid w:val="001D3D7C"/>
    <w:rsid w:val="001E177B"/>
    <w:rsid w:val="001F67E0"/>
    <w:rsid w:val="002118A3"/>
    <w:rsid w:val="002221FF"/>
    <w:rsid w:val="00227DEB"/>
    <w:rsid w:val="0023715C"/>
    <w:rsid w:val="002428BA"/>
    <w:rsid w:val="00254AA6"/>
    <w:rsid w:val="00264D62"/>
    <w:rsid w:val="0028359A"/>
    <w:rsid w:val="002867EC"/>
    <w:rsid w:val="002A095A"/>
    <w:rsid w:val="002A55D4"/>
    <w:rsid w:val="002B44CD"/>
    <w:rsid w:val="002D3E11"/>
    <w:rsid w:val="002F4CEC"/>
    <w:rsid w:val="0031362B"/>
    <w:rsid w:val="00344B71"/>
    <w:rsid w:val="00350A72"/>
    <w:rsid w:val="00387187"/>
    <w:rsid w:val="00390191"/>
    <w:rsid w:val="00397E5E"/>
    <w:rsid w:val="003A5321"/>
    <w:rsid w:val="003B2E25"/>
    <w:rsid w:val="003B3835"/>
    <w:rsid w:val="003D09C7"/>
    <w:rsid w:val="003D4394"/>
    <w:rsid w:val="00404E57"/>
    <w:rsid w:val="00421717"/>
    <w:rsid w:val="0042276B"/>
    <w:rsid w:val="00432EB5"/>
    <w:rsid w:val="0044565B"/>
    <w:rsid w:val="00464217"/>
    <w:rsid w:val="004645DD"/>
    <w:rsid w:val="00467BCA"/>
    <w:rsid w:val="004743BE"/>
    <w:rsid w:val="0048649F"/>
    <w:rsid w:val="00495A39"/>
    <w:rsid w:val="004B38B2"/>
    <w:rsid w:val="004C1DA8"/>
    <w:rsid w:val="004C7826"/>
    <w:rsid w:val="004D6566"/>
    <w:rsid w:val="004D7137"/>
    <w:rsid w:val="004E525F"/>
    <w:rsid w:val="00522AE6"/>
    <w:rsid w:val="00527E62"/>
    <w:rsid w:val="00531EFF"/>
    <w:rsid w:val="005452E5"/>
    <w:rsid w:val="005538EA"/>
    <w:rsid w:val="0056186F"/>
    <w:rsid w:val="005676E6"/>
    <w:rsid w:val="005C0F69"/>
    <w:rsid w:val="005C36A6"/>
    <w:rsid w:val="005C42A4"/>
    <w:rsid w:val="005D3A0B"/>
    <w:rsid w:val="005F5E6F"/>
    <w:rsid w:val="00610C2D"/>
    <w:rsid w:val="006228A6"/>
    <w:rsid w:val="006352A6"/>
    <w:rsid w:val="006506CE"/>
    <w:rsid w:val="00676D9A"/>
    <w:rsid w:val="006A3343"/>
    <w:rsid w:val="006C032C"/>
    <w:rsid w:val="006F14E2"/>
    <w:rsid w:val="0070701A"/>
    <w:rsid w:val="0071210E"/>
    <w:rsid w:val="00712227"/>
    <w:rsid w:val="00756419"/>
    <w:rsid w:val="00760F24"/>
    <w:rsid w:val="00761181"/>
    <w:rsid w:val="00791C09"/>
    <w:rsid w:val="00796A3C"/>
    <w:rsid w:val="007A2888"/>
    <w:rsid w:val="007D1A6A"/>
    <w:rsid w:val="007E6106"/>
    <w:rsid w:val="00816847"/>
    <w:rsid w:val="008218C9"/>
    <w:rsid w:val="00847170"/>
    <w:rsid w:val="00861B2C"/>
    <w:rsid w:val="00870D97"/>
    <w:rsid w:val="008A76CB"/>
    <w:rsid w:val="008B6F5A"/>
    <w:rsid w:val="008C4A73"/>
    <w:rsid w:val="008D21F0"/>
    <w:rsid w:val="008F1BC1"/>
    <w:rsid w:val="008F2EDC"/>
    <w:rsid w:val="00935504"/>
    <w:rsid w:val="009516F0"/>
    <w:rsid w:val="009671A5"/>
    <w:rsid w:val="00972E59"/>
    <w:rsid w:val="00975B29"/>
    <w:rsid w:val="00985F11"/>
    <w:rsid w:val="00986AA6"/>
    <w:rsid w:val="009A467F"/>
    <w:rsid w:val="009C2AA9"/>
    <w:rsid w:val="009D5333"/>
    <w:rsid w:val="009F3069"/>
    <w:rsid w:val="009F59BE"/>
    <w:rsid w:val="00A017C6"/>
    <w:rsid w:val="00A06C62"/>
    <w:rsid w:val="00A14B7A"/>
    <w:rsid w:val="00A208F2"/>
    <w:rsid w:val="00A23ED2"/>
    <w:rsid w:val="00A35052"/>
    <w:rsid w:val="00A52456"/>
    <w:rsid w:val="00A93447"/>
    <w:rsid w:val="00AA016E"/>
    <w:rsid w:val="00AA4A4C"/>
    <w:rsid w:val="00AB3DA6"/>
    <w:rsid w:val="00AC3533"/>
    <w:rsid w:val="00AD2AB8"/>
    <w:rsid w:val="00AD2F85"/>
    <w:rsid w:val="00AF036B"/>
    <w:rsid w:val="00B068C4"/>
    <w:rsid w:val="00B06D93"/>
    <w:rsid w:val="00B10A45"/>
    <w:rsid w:val="00B17681"/>
    <w:rsid w:val="00B2413E"/>
    <w:rsid w:val="00B350FC"/>
    <w:rsid w:val="00B37CAD"/>
    <w:rsid w:val="00B446C1"/>
    <w:rsid w:val="00B47133"/>
    <w:rsid w:val="00B51512"/>
    <w:rsid w:val="00B5792F"/>
    <w:rsid w:val="00B661A8"/>
    <w:rsid w:val="00B67073"/>
    <w:rsid w:val="00B673D5"/>
    <w:rsid w:val="00B77B8E"/>
    <w:rsid w:val="00B9032F"/>
    <w:rsid w:val="00BC6EC9"/>
    <w:rsid w:val="00C00C1F"/>
    <w:rsid w:val="00C24AC5"/>
    <w:rsid w:val="00C2696D"/>
    <w:rsid w:val="00C51D7C"/>
    <w:rsid w:val="00C60A7D"/>
    <w:rsid w:val="00C62B05"/>
    <w:rsid w:val="00C62E96"/>
    <w:rsid w:val="00C9605D"/>
    <w:rsid w:val="00CA6D7A"/>
    <w:rsid w:val="00CC3C8D"/>
    <w:rsid w:val="00CD3023"/>
    <w:rsid w:val="00CE08D2"/>
    <w:rsid w:val="00D2251F"/>
    <w:rsid w:val="00D302D7"/>
    <w:rsid w:val="00D303EA"/>
    <w:rsid w:val="00D548B9"/>
    <w:rsid w:val="00D6162B"/>
    <w:rsid w:val="00D64238"/>
    <w:rsid w:val="00D701E0"/>
    <w:rsid w:val="00D718F1"/>
    <w:rsid w:val="00D841BF"/>
    <w:rsid w:val="00DA5224"/>
    <w:rsid w:val="00DA68CD"/>
    <w:rsid w:val="00DD7063"/>
    <w:rsid w:val="00DF7DD3"/>
    <w:rsid w:val="00E15F86"/>
    <w:rsid w:val="00E44F68"/>
    <w:rsid w:val="00E47EC3"/>
    <w:rsid w:val="00E713D2"/>
    <w:rsid w:val="00E76224"/>
    <w:rsid w:val="00E76DCC"/>
    <w:rsid w:val="00EA128E"/>
    <w:rsid w:val="00EC4C7A"/>
    <w:rsid w:val="00EC559B"/>
    <w:rsid w:val="00ED51E4"/>
    <w:rsid w:val="00ED67B0"/>
    <w:rsid w:val="00EF088F"/>
    <w:rsid w:val="00EF7BB2"/>
    <w:rsid w:val="00F13D00"/>
    <w:rsid w:val="00F14310"/>
    <w:rsid w:val="00F327D8"/>
    <w:rsid w:val="00F41F56"/>
    <w:rsid w:val="00F91AF2"/>
    <w:rsid w:val="00F97418"/>
    <w:rsid w:val="00FA4C72"/>
    <w:rsid w:val="00FB2059"/>
    <w:rsid w:val="00FC23FB"/>
    <w:rsid w:val="00FC2761"/>
    <w:rsid w:val="00FC6716"/>
    <w:rsid w:val="00FD6A60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1F"/>
  </w:style>
  <w:style w:type="paragraph" w:styleId="2">
    <w:name w:val="heading 2"/>
    <w:basedOn w:val="a"/>
    <w:link w:val="20"/>
    <w:uiPriority w:val="9"/>
    <w:qFormat/>
    <w:rsid w:val="00CE0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28E"/>
  </w:style>
  <w:style w:type="character" w:styleId="a4">
    <w:name w:val="Strong"/>
    <w:basedOn w:val="a0"/>
    <w:uiPriority w:val="22"/>
    <w:qFormat/>
    <w:rsid w:val="00EA128E"/>
    <w:rPr>
      <w:b/>
      <w:bCs/>
    </w:rPr>
  </w:style>
  <w:style w:type="table" w:styleId="a5">
    <w:name w:val="Table Grid"/>
    <w:basedOn w:val="a1"/>
    <w:uiPriority w:val="59"/>
    <w:rsid w:val="00E76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08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CE08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BCA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3B2E25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B2E25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B2E25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3B2E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B2E2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B2E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26B0E-582F-4FA7-932A-4D97B2AE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Михаил</cp:lastModifiedBy>
  <cp:revision>22</cp:revision>
  <dcterms:created xsi:type="dcterms:W3CDTF">2016-11-16T16:52:00Z</dcterms:created>
  <dcterms:modified xsi:type="dcterms:W3CDTF">2016-12-16T14:24:00Z</dcterms:modified>
</cp:coreProperties>
</file>